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leftChars="20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浙江省食品药品监督管理与产业发展研究会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leftChars="20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2015年度课题项目表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  <w:outlineLvl w:val="9"/>
        <w:rPr>
          <w:rFonts w:ascii="仿宋_GB2312" w:hAnsi="宋体" w:eastAsia="仿宋_GB2312" w:cs="宋体"/>
          <w:kern w:val="0"/>
          <w:sz w:val="24"/>
          <w:szCs w:val="24"/>
        </w:rPr>
      </w:pPr>
    </w:p>
    <w:tbl>
      <w:tblPr>
        <w:tblStyle w:val="5"/>
        <w:tblW w:w="13067" w:type="dxa"/>
        <w:jc w:val="center"/>
        <w:tblInd w:w="-3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5069"/>
        <w:gridCol w:w="1508"/>
        <w:gridCol w:w="1260"/>
        <w:gridCol w:w="1095"/>
        <w:gridCol w:w="2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资助金额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ZYH2015001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浙江省医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疗器械安全风险分析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重点项目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董耿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浙江省食品药品监督管理局医疗器械处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ZYH2015002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关于合理配置监管资源，建立完善药械检查体系的研究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重点项目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任文霞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ZYH2015003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浙贝母无硫饮片质量标准的制定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重点项目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郭增喜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浙江省食品药品检验研究院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ZYH2015004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基于特征指纹图谱的铁皮石斛制剂质量评价研究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重点项目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黎晶晶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ZYH2015005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重大食品安全事故防范的前馈控制机制研究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重点项目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林建原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浙江万里学院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ZYH2015006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电子商务促进浙江省医药产业结构优化研究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赵静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ZYH2015007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杭州市药品经营质量管理现状与GSP立体培训体系建设研究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夏占强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浙江英特药业有限责任公司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ZYH2015008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基于“效应成分指数”的浙贝母质量评控技术的研究与应用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程斌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ZYH2015009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丽水优势地产中药材的质量研究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范蕾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丽水市食品药品检验所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ZYH2015010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提升浙江省执业药师专业服务能力的对策研究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余红丽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ZYH2015011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铁皮石斛专属鉴别方法研究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马临科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浙江省食品药品检验研究院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ZYH2015012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浙江省中药制剂（中药饮片）生产企业QC检验能力调研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翁晓明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浙江省药品认证检查中心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ZYH2015013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中药饮片智能化煎药服务创新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汪洋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浙江英特医药药材有限公司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ZYH2015014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新常态下浙江省医药产业结构优化与区域发展路径研究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潘琪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ZYH2015015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药品批发企业经营管理计算机系统现状调研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张寰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浙江省药品认证检查中心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ZYH2015016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益生乳酸菌高密度发酵关键技术研究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李言郡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杭州娃哈哈集团有限公司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ZYH2015017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浙江生物医药产业转型升级阶段、特征与对策研究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施海燕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ZYH2015018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浙江省药品电子监管实施探讨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张明胜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浙江英特药业有限责任公司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ZYH2015019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浙江省药品零售企业分级管理实施标准研究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吴锦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ZYH2015020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浙江省医疗器械产业第三方服务需求调查与对策研究 ——以宁波市为例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赵祥欣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浙江医药高等专科学校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  <w:outlineLvl w:val="9"/>
        <w:rPr>
          <w:rFonts w:ascii="仿宋_GB2312" w:hAnsi="宋体" w:eastAsia="仿宋_GB2312" w:cs="宋体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D3"/>
    <w:rsid w:val="0001672F"/>
    <w:rsid w:val="003E1B37"/>
    <w:rsid w:val="004402E9"/>
    <w:rsid w:val="00444413"/>
    <w:rsid w:val="00574C96"/>
    <w:rsid w:val="00577F6F"/>
    <w:rsid w:val="00645DA8"/>
    <w:rsid w:val="00DA62D3"/>
    <w:rsid w:val="00E06DF7"/>
    <w:rsid w:val="11A92903"/>
    <w:rsid w:val="173B7722"/>
    <w:rsid w:val="22365725"/>
    <w:rsid w:val="32097CA1"/>
    <w:rsid w:val="6BDA411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IT联盟</Company>
  <Pages>3</Pages>
  <Words>193</Words>
  <Characters>1101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2016-01-07T08:31:00Z</dcterms:created>
  <dc:creator>姜荷</dc:creator>
  <cp:lastModifiedBy>周静</cp:lastModifiedBy>
  <dcterms:modified xsi:type="dcterms:W3CDTF">2016-04-10T10:12:04Z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