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val="en-US" w:eastAsia="zh-CN"/>
        </w:rPr>
      </w:pPr>
      <w:bookmarkStart w:id="0" w:name="_GoBack"/>
      <w:bookmarkEnd w:id="0"/>
      <w:r>
        <w:rPr>
          <w:rFonts w:hint="eastAsia" w:ascii="仿宋_GB2312" w:hAnsi="仿宋_GB2312" w:eastAsia="仿宋_GB2312" w:cs="仿宋_GB2312"/>
          <w:lang w:val="en-US" w:eastAsia="zh-CN"/>
        </w:rPr>
        <w:t>附件1</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2021年度研究会立项课题一览表（排名不分先后）</w:t>
      </w:r>
    </w:p>
    <w:p>
      <w:pPr>
        <w:jc w:val="center"/>
        <w:rPr>
          <w:rFonts w:hint="eastAsia" w:ascii="仿宋_GB2312" w:hAnsi="仿宋_GB2312" w:eastAsia="仿宋_GB2312" w:cs="仿宋_GB2312"/>
          <w:b/>
          <w:bCs/>
          <w:sz w:val="24"/>
          <w:szCs w:val="24"/>
          <w:lang w:val="en-US" w:eastAsia="zh-CN"/>
        </w:rPr>
      </w:pP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96"/>
        <w:gridCol w:w="3482"/>
        <w:gridCol w:w="1082"/>
        <w:gridCol w:w="1100"/>
        <w:gridCol w:w="81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项目编号</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项目名称</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项目类别</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资助金额</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负责人</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负责人所在单位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ZYH2021001</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生物催化法生产的原料药和中间体中蛋白质残留的检测方法和控制标准研究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重点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6000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郑金琪</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浙江省食品药品检验研究院，宁波酶赛生物工程有限公司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ZYH2021002</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基于国家药品监督管理局高级研修学院长三角教学基地建设的药械化从业人员素质能力提升研究与实践</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重点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6000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沈燕丽</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浙江医药高等专科学校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ZYH2021003</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药品法定标准外系统性质量风险监管研究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孙逍</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ZYH2021004</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浙江省药品生产企业智能制造现状调查</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董作军</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ZYH2021005</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“浙产好药”共享标准体系调研与建立</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何伯伟</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浙江省中药材产业协会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ZYH2021006</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化妆品注册人备案人委托生产质量管理体系研究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唐霖</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浙江医药高等专科学校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ZYH2021007</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新版《药品管理法》框架下中药饮片假劣药界定关键问题探索</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刘宇文</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杭州市食品药品检验研究所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ZYH2021008</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MAH制度下药品全生命周期法律风险研究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孙红丽</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天册（上海）律师事务所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ZYH2021009</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新时代背景下</w:t>
            </w: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浙江省药品网络销售监管模式研究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郭文博</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 xml:space="preserve">浙江医药高等专科学校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ZYH2021010</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丽水特色中药的研究进展及开发应用</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范蕾</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丽水市质量检验检测研究院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ZYH2021011</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互联网+中药代煎服务规范和煎药质量控制技术的应用</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范小玲</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浙江三溪堂中药有限公司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ZYH2021012</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公众参与药物警戒社会共治可行性的研究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王静</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金华市食品药品检验检测研究院（金华市药品不良反应监测中心）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ZYH2021013</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浙江生物医药产业创新生态系统建设策略研究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方磊</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 xml:space="preserve">浙江医药高等专科学校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ZYH2021014</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浙江省人工智能医疗器械产业现状及思考</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一般</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3000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何涛</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浙江省医疗器械创新和应用推广专委会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ZYH2021015</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浙江省中药饮片农残问题研究及建议</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专项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杨红韬</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杭州华东中药饮片有限公司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ZYH2021016</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中药饮片胆南星安全和有效的提升研究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专项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申屠银洪</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 xml:space="preserve">浙江桐君堂中药饮片有限公司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ZYH2021017</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新版条例背景下基于质量风险管理的化妆品原料管控对策研究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专项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王翰华</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浙江医药高等专科学校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ZYH2021018</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浙江省道地药材浙贝母种植过程中农药使用情况调研及农残分析</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专项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汪洋</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浙江省中医药健康产业集团有限公司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jc w:val="center"/>
        </w:trPr>
        <w:tc>
          <w:tcPr>
            <w:tcW w:w="1196"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2"/>
                <w:sz w:val="21"/>
                <w:szCs w:val="21"/>
                <w:u w:val="none"/>
                <w:lang w:val="en-US" w:eastAsia="zh-CN" w:bidi="ar-SA"/>
                <w14:textFill>
                  <w14:solidFill>
                    <w14:schemeClr w14:val="tx1"/>
                  </w14:solidFill>
                </w14:textFill>
              </w:rPr>
              <w:t>ZYH2021019</w:t>
            </w:r>
          </w:p>
        </w:tc>
        <w:tc>
          <w:tcPr>
            <w:tcW w:w="34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药品“带量采购”背景下浙江省医药企业高质量发展路径研究</w:t>
            </w:r>
          </w:p>
        </w:tc>
        <w:tc>
          <w:tcPr>
            <w:tcW w:w="1082"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专项</w:t>
            </w:r>
          </w:p>
        </w:tc>
        <w:tc>
          <w:tcPr>
            <w:tcW w:w="1100"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0</w:t>
            </w:r>
          </w:p>
        </w:tc>
        <w:tc>
          <w:tcPr>
            <w:tcW w:w="811"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杨海玲</w:t>
            </w:r>
          </w:p>
        </w:tc>
        <w:tc>
          <w:tcPr>
            <w:tcW w:w="1688" w:type="dxa"/>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浙江医药高等专科学校</w:t>
            </w:r>
          </w:p>
        </w:tc>
      </w:tr>
    </w:tbl>
    <w:p>
      <w:pPr>
        <w:jc w:val="center"/>
        <w:rPr>
          <w:rFonts w:hint="eastAsia" w:ascii="仿宋_GB2312" w:hAnsi="仿宋_GB2312" w:eastAsia="仿宋_GB2312" w:cs="仿宋_GB2312"/>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36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0" w:after="40"/>
      <w:ind w:firstLine="0" w:firstLineChars="0"/>
      <w:jc w:val="left"/>
      <w:outlineLvl w:val="0"/>
    </w:pPr>
    <w:rPr>
      <w:b/>
      <w:kern w:val="44"/>
      <w:sz w:val="32"/>
    </w:rPr>
  </w:style>
  <w:style w:type="paragraph" w:styleId="3">
    <w:name w:val="heading 2"/>
    <w:basedOn w:val="1"/>
    <w:next w:val="1"/>
    <w:link w:val="9"/>
    <w:unhideWhenUsed/>
    <w:qFormat/>
    <w:uiPriority w:val="0"/>
    <w:pPr>
      <w:keepNext/>
      <w:keepLines/>
      <w:ind w:firstLine="0" w:firstLineChars="0"/>
      <w:jc w:val="left"/>
      <w:outlineLvl w:val="1"/>
    </w:pPr>
    <w:rPr>
      <w:rFonts w:ascii="Arial" w:hAnsi="Arial"/>
      <w:b/>
      <w:sz w:val="32"/>
    </w:rPr>
  </w:style>
  <w:style w:type="paragraph" w:styleId="4">
    <w:name w:val="heading 3"/>
    <w:basedOn w:val="1"/>
    <w:next w:val="1"/>
    <w:unhideWhenUsed/>
    <w:qFormat/>
    <w:uiPriority w:val="0"/>
    <w:pPr>
      <w:keepNext/>
      <w:keepLines/>
      <w:ind w:firstLine="0" w:firstLineChars="0"/>
      <w:outlineLvl w:val="2"/>
    </w:pPr>
    <w:rPr>
      <w:b/>
    </w:rPr>
  </w:style>
  <w:style w:type="paragraph" w:styleId="5">
    <w:name w:val="heading 4"/>
    <w:basedOn w:val="1"/>
    <w:next w:val="1"/>
    <w:unhideWhenUsed/>
    <w:qFormat/>
    <w:uiPriority w:val="0"/>
    <w:pPr>
      <w:keepNext/>
      <w:keepLines/>
      <w:ind w:firstLine="0" w:firstLineChars="0"/>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3"/>
    <w:qFormat/>
    <w:uiPriority w:val="0"/>
    <w:rPr>
      <w:rFonts w:ascii="Arial" w:hAnsi="Arial" w:eastAsiaTheme="minorEastAsia"/>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2021-09-03T11:12:00Z</dcterms:created>
  <dc:creator>佩佩粥</dc:creator>
  <cp:lastModifiedBy>王梅文</cp:lastModifiedBy>
  <dcterms:modified xsi:type="dcterms:W3CDTF">2021-09-10T16:20:54Z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D1420945F5BF46A581D85B440A593FD5</vt:lpwstr>
  </property>
</Properties>
</file>