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专家验收意见表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60" w:hRule="atLeast"/>
        </w:trPr>
        <w:tc>
          <w:tcPr>
            <w:tcW w:w="8522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专家盖章或签名：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年    月   日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验收组专家名单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855"/>
        <w:gridCol w:w="2579"/>
        <w:gridCol w:w="1958"/>
        <w:gridCol w:w="208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</w:rPr>
            </w:pPr>
            <w:r>
              <w:rPr>
                <w:rFonts w:hint="eastAsia" w:ascii="仿宋_GB2312" w:hAnsi="Arial" w:eastAsia="仿宋_GB2312" w:cs="Arial"/>
                <w:sz w:val="32"/>
              </w:rPr>
              <w:t>姓　名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</w:rPr>
            </w:pPr>
            <w:r>
              <w:rPr>
                <w:rFonts w:hint="eastAsia" w:ascii="仿宋_GB2312" w:hAnsi="Arial" w:eastAsia="仿宋_GB2312" w:cs="Arial"/>
                <w:sz w:val="32"/>
              </w:rPr>
              <w:t>工作单位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</w:rPr>
            </w:pPr>
            <w:r>
              <w:rPr>
                <w:rFonts w:hint="eastAsia" w:ascii="仿宋_GB2312" w:hAnsi="Arial" w:eastAsia="仿宋_GB2312" w:cs="Arial"/>
                <w:sz w:val="32"/>
              </w:rPr>
              <w:t>现从事专业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</w:rPr>
            </w:pPr>
            <w:r>
              <w:rPr>
                <w:rFonts w:hint="eastAsia" w:ascii="仿宋_GB2312" w:hAnsi="Arial" w:eastAsia="仿宋_GB2312" w:cs="Arial"/>
                <w:sz w:val="32"/>
              </w:rPr>
              <w:t>职务/职称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</w:rPr>
            </w:pPr>
            <w:r>
              <w:rPr>
                <w:rFonts w:hint="eastAsia" w:ascii="仿宋_GB2312" w:hAnsi="Arial" w:eastAsia="仿宋_GB2312" w:cs="Arial"/>
                <w:sz w:val="32"/>
              </w:rPr>
              <w:t>电　话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3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  <w:tc>
          <w:tcPr>
            <w:tcW w:w="2087" w:type="dxa"/>
            <w:vAlign w:val="top"/>
          </w:tcPr>
          <w:p>
            <w:pPr>
              <w:rPr>
                <w:rFonts w:hint="eastAsia" w:ascii="仿宋_GB2312" w:hAnsi="Arial" w:eastAsia="仿宋_GB2312" w:cs="Arial"/>
                <w:sz w:val="32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13063"/>
    <w:rsid w:val="01B130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2016-05-19T07:28:00Z</dcterms:created>
  <dc:creator>周静</dc:creator>
  <cp:lastModifiedBy>周静</cp:lastModifiedBy>
  <dcterms:modified xsi:type="dcterms:W3CDTF">2016-05-19T07:41:16Z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