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autoSpaceDE/>
        <w:autoSpaceDN/>
        <w:bidi w:val="0"/>
        <w:snapToGrid w:val="0"/>
        <w:spacing w:before="0" w:after="160" w:line="360" w:lineRule="auto"/>
        <w:ind w:right="0" w:firstLine="0"/>
        <w:jc w:val="center"/>
        <w:rPr>
          <w:rFonts w:hint="default" w:ascii="黑体" w:hAnsi="黑体" w:eastAsia="黑体"/>
          <w:color w:val="auto"/>
          <w:position w:val="0"/>
          <w:sz w:val="36"/>
          <w:szCs w:val="36"/>
        </w:rPr>
      </w:pPr>
      <w:r>
        <w:rPr>
          <w:rFonts w:hint="default" w:ascii="黑体" w:hAnsi="黑体" w:eastAsia="黑体"/>
          <w:color w:val="auto"/>
          <w:position w:val="0"/>
          <w:sz w:val="36"/>
          <w:szCs w:val="36"/>
        </w:rPr>
        <w:t>2016年浙江省食品药品监督管理与产业发展研究会课题申报指南</w:t>
      </w:r>
    </w:p>
    <w:p>
      <w:pPr>
        <w:pageBreakBefore w:val="0"/>
        <w:numPr>
          <w:ilvl w:val="0"/>
          <w:numId w:val="0"/>
        </w:numPr>
        <w:autoSpaceDE/>
        <w:autoSpaceDN/>
        <w:bidi w:val="0"/>
        <w:snapToGrid w:val="0"/>
        <w:spacing w:before="0" w:after="160" w:line="360" w:lineRule="auto"/>
        <w:ind w:right="0" w:firstLine="600"/>
        <w:jc w:val="both"/>
        <w:rPr>
          <w:rFonts w:hint="default" w:ascii="黑体" w:hAnsi="黑体" w:eastAsia="黑体"/>
          <w:color w:val="auto"/>
          <w:position w:val="0"/>
          <w:sz w:val="30"/>
          <w:szCs w:val="30"/>
        </w:rPr>
      </w:pPr>
      <w:r>
        <w:rPr>
          <w:rFonts w:hint="default" w:ascii="黑体" w:hAnsi="黑体" w:eastAsia="黑体"/>
          <w:color w:val="auto"/>
          <w:position w:val="0"/>
          <w:sz w:val="30"/>
          <w:szCs w:val="30"/>
        </w:rPr>
        <w:t>一、指导思想</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根据本研究会“服务监管、服务公众、服务发展、服务会员”的宗旨，立足浙江实际，结合食品药品监管部门现阶段问题和企业的需求，更好地为我省食品药品监管机构职能转变、机制创新和行业企业转型升级提供决策依据和技术支撑。</w:t>
      </w:r>
    </w:p>
    <w:p>
      <w:pPr>
        <w:pageBreakBefore w:val="0"/>
        <w:numPr>
          <w:ilvl w:val="0"/>
          <w:numId w:val="0"/>
        </w:numPr>
        <w:autoSpaceDE/>
        <w:autoSpaceDN/>
        <w:bidi w:val="0"/>
        <w:snapToGrid w:val="0"/>
        <w:spacing w:before="0" w:after="160" w:line="360" w:lineRule="auto"/>
        <w:ind w:right="0" w:firstLine="600"/>
        <w:jc w:val="both"/>
        <w:rPr>
          <w:rFonts w:hint="default" w:ascii="黑体" w:hAnsi="黑体" w:eastAsia="黑体"/>
          <w:color w:val="auto"/>
          <w:position w:val="0"/>
          <w:sz w:val="30"/>
          <w:szCs w:val="30"/>
        </w:rPr>
      </w:pPr>
      <w:r>
        <w:rPr>
          <w:rFonts w:hint="default" w:ascii="黑体" w:hAnsi="黑体" w:eastAsia="黑体"/>
          <w:color w:val="auto"/>
          <w:position w:val="0"/>
          <w:sz w:val="30"/>
          <w:szCs w:val="30"/>
        </w:rPr>
        <w:t>二、申报要求</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1、课题类型：</w:t>
      </w:r>
    </w:p>
    <w:p>
      <w:pPr>
        <w:pageBreakBefore w:val="0"/>
        <w:numPr>
          <w:ilvl w:val="0"/>
          <w:numId w:val="1"/>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w:t>
      </w:r>
      <w:r>
        <w:rPr>
          <w:rFonts w:hint="default" w:ascii="仿宋_GB2312" w:hAnsi="仿宋_GB2312" w:eastAsia="仿宋_GB2312"/>
          <w:b/>
          <w:color w:val="auto"/>
          <w:position w:val="0"/>
          <w:sz w:val="30"/>
          <w:szCs w:val="30"/>
        </w:rPr>
        <w:t>重点课题】</w:t>
      </w:r>
      <w:r>
        <w:rPr>
          <w:rFonts w:hint="default" w:ascii="仿宋_GB2312" w:hAnsi="仿宋_GB2312" w:eastAsia="仿宋_GB2312"/>
          <w:b w:val="0"/>
          <w:color w:val="auto"/>
          <w:position w:val="0"/>
          <w:sz w:val="30"/>
          <w:szCs w:val="30"/>
        </w:rPr>
        <w:t>原则上</w:t>
      </w:r>
      <w:r>
        <w:rPr>
          <w:rFonts w:hint="default" w:ascii="仿宋_GB2312" w:hAnsi="仿宋_GB2312" w:eastAsia="仿宋_GB2312"/>
          <w:b/>
          <w:color w:val="auto"/>
          <w:position w:val="0"/>
          <w:sz w:val="30"/>
          <w:szCs w:val="30"/>
        </w:rPr>
        <w:t>要求</w:t>
      </w:r>
      <w:r>
        <w:rPr>
          <w:rFonts w:hint="default" w:ascii="仿宋_GB2312" w:hAnsi="仿宋_GB2312" w:eastAsia="仿宋_GB2312"/>
          <w:b w:val="0"/>
          <w:color w:val="auto"/>
          <w:position w:val="0"/>
          <w:sz w:val="30"/>
          <w:szCs w:val="30"/>
        </w:rPr>
        <w:t>研究成果形式为论文、专著、专利等，</w:t>
      </w:r>
      <w:r>
        <w:rPr>
          <w:rFonts w:hint="default" w:ascii="仿宋_GB2312" w:hAnsi="仿宋_GB2312" w:eastAsia="仿宋_GB2312"/>
          <w:color w:val="auto"/>
          <w:position w:val="0"/>
          <w:sz w:val="30"/>
          <w:szCs w:val="30"/>
        </w:rPr>
        <w:t>经费资助额度为5000元/项（立项数量视具体申报情况而定）；</w:t>
      </w:r>
    </w:p>
    <w:p>
      <w:pPr>
        <w:pageBreakBefore w:val="0"/>
        <w:numPr>
          <w:ilvl w:val="0"/>
          <w:numId w:val="1"/>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w:t>
      </w:r>
      <w:r>
        <w:rPr>
          <w:rFonts w:hint="default" w:ascii="仿宋_GB2312" w:hAnsi="仿宋_GB2312" w:eastAsia="仿宋_GB2312"/>
          <w:b/>
          <w:color w:val="auto"/>
          <w:position w:val="0"/>
          <w:sz w:val="30"/>
          <w:szCs w:val="30"/>
        </w:rPr>
        <w:t>一般课题】</w:t>
      </w:r>
      <w:r>
        <w:rPr>
          <w:rFonts w:hint="default" w:ascii="仿宋_GB2312" w:hAnsi="仿宋_GB2312" w:eastAsia="仿宋_GB2312"/>
          <w:b w:val="0"/>
          <w:color w:val="auto"/>
          <w:position w:val="0"/>
          <w:sz w:val="30"/>
          <w:szCs w:val="30"/>
        </w:rPr>
        <w:t>研究成果形式可以是论文、专著、专利、研究报告等，</w:t>
      </w:r>
      <w:r>
        <w:rPr>
          <w:rFonts w:hint="default" w:ascii="仿宋_GB2312" w:hAnsi="仿宋_GB2312" w:eastAsia="仿宋_GB2312"/>
          <w:color w:val="auto"/>
          <w:position w:val="0"/>
          <w:sz w:val="30"/>
          <w:szCs w:val="30"/>
        </w:rPr>
        <w:t>经费资助额度为3000元/项（立项数量视具体申报情况而定）；</w:t>
      </w:r>
    </w:p>
    <w:p>
      <w:pPr>
        <w:pageBreakBefore w:val="0"/>
        <w:numPr>
          <w:ilvl w:val="0"/>
          <w:numId w:val="1"/>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w:t>
      </w:r>
      <w:r>
        <w:rPr>
          <w:rFonts w:hint="default" w:ascii="仿宋_GB2312" w:hAnsi="仿宋_GB2312" w:eastAsia="仿宋_GB2312"/>
          <w:b/>
          <w:color w:val="auto"/>
          <w:position w:val="0"/>
          <w:sz w:val="30"/>
          <w:szCs w:val="30"/>
        </w:rPr>
        <w:t>专项课题】</w:t>
      </w:r>
      <w:r>
        <w:rPr>
          <w:rFonts w:hint="default" w:ascii="仿宋_GB2312" w:hAnsi="仿宋_GB2312" w:eastAsia="仿宋_GB2312"/>
          <w:b w:val="0"/>
          <w:color w:val="auto"/>
          <w:position w:val="0"/>
          <w:sz w:val="30"/>
          <w:szCs w:val="30"/>
        </w:rPr>
        <w:t>要求围绕特定主题开展研究，成果形式可以是论文、专著、专利、研究报告等</w:t>
      </w:r>
      <w:r>
        <w:rPr>
          <w:rFonts w:hint="default" w:ascii="仿宋_GB2312" w:hAnsi="仿宋_GB2312" w:eastAsia="仿宋_GB2312"/>
          <w:color w:val="auto"/>
          <w:position w:val="0"/>
          <w:sz w:val="30"/>
          <w:szCs w:val="30"/>
        </w:rPr>
        <w:t>（立项数量视具体申报情况而定），经费自筹；</w:t>
      </w:r>
    </w:p>
    <w:p>
      <w:pPr>
        <w:pageBreakBefore w:val="0"/>
        <w:numPr>
          <w:ilvl w:val="0"/>
          <w:numId w:val="1"/>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color w:val="auto"/>
          <w:position w:val="0"/>
          <w:sz w:val="30"/>
          <w:szCs w:val="30"/>
        </w:rPr>
        <w:t>【</w:t>
      </w:r>
      <w:r>
        <w:rPr>
          <w:rFonts w:hint="default" w:ascii="仿宋_GB2312" w:hAnsi="仿宋_GB2312" w:eastAsia="仿宋_GB2312"/>
          <w:b/>
          <w:color w:val="auto"/>
          <w:position w:val="0"/>
          <w:sz w:val="30"/>
          <w:szCs w:val="30"/>
        </w:rPr>
        <w:t>成果申报</w:t>
      </w:r>
      <w:r>
        <w:rPr>
          <w:rFonts w:hint="default" w:ascii="仿宋_GB2312" w:hAnsi="仿宋_GB2312" w:eastAsia="仿宋_GB2312"/>
          <w:color w:val="auto"/>
          <w:position w:val="0"/>
          <w:sz w:val="30"/>
          <w:szCs w:val="30"/>
        </w:rPr>
        <w:t>】</w:t>
      </w:r>
      <w:r>
        <w:rPr>
          <w:rFonts w:hint="default" w:ascii="仿宋_GB2312" w:hAnsi="仿宋_GB2312" w:eastAsia="仿宋_GB2312"/>
          <w:b/>
          <w:color w:val="auto"/>
          <w:position w:val="0"/>
          <w:sz w:val="30"/>
          <w:szCs w:val="30"/>
        </w:rPr>
        <w:t>主要针对研究会所属研究中心，</w:t>
      </w:r>
      <w:r>
        <w:rPr>
          <w:rFonts w:hint="default" w:ascii="仿宋_GB2312" w:hAnsi="仿宋_GB2312" w:eastAsia="仿宋_GB2312"/>
          <w:b w:val="0"/>
          <w:color w:val="auto"/>
          <w:position w:val="0"/>
          <w:sz w:val="30"/>
          <w:szCs w:val="30"/>
        </w:rPr>
        <w:t>自成立以来完成并经过筛选后的优秀成果，成果形式可以是论文、专著、专利、研究报告等，</w:t>
      </w:r>
      <w:r>
        <w:rPr>
          <w:rFonts w:hint="default" w:ascii="仿宋_GB2312" w:hAnsi="仿宋_GB2312" w:eastAsia="仿宋_GB2312"/>
          <w:color w:val="auto"/>
          <w:position w:val="0"/>
          <w:sz w:val="30"/>
          <w:szCs w:val="30"/>
        </w:rPr>
        <w:t>经费资助额度为3000元/项，每个研究中心限推3个</w:t>
      </w:r>
      <w:r>
        <w:rPr>
          <w:rFonts w:hint="default" w:ascii="仿宋_GB2312" w:hAnsi="仿宋_GB2312" w:eastAsia="仿宋_GB2312"/>
          <w:b w:val="0"/>
          <w:color w:val="auto"/>
          <w:position w:val="0"/>
          <w:sz w:val="30"/>
          <w:szCs w:val="30"/>
        </w:rPr>
        <w:t>。</w:t>
      </w:r>
    </w:p>
    <w:p>
      <w:pPr>
        <w:pageBreakBefore w:val="0"/>
        <w:numPr>
          <w:ilvl w:val="0"/>
          <w:numId w:val="2"/>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申报要求：申报者要严格按本通知要求制作申报材料，做到规范、准确、齐全。</w:t>
      </w:r>
    </w:p>
    <w:p>
      <w:pPr>
        <w:pageBreakBefore w:val="0"/>
        <w:numPr>
          <w:ilvl w:val="0"/>
          <w:numId w:val="2"/>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完成时间：除成果立项以外，其他课题研究时间原则上为1年。课题研究时间从立项之日起至课题组递交最终研究成果时止。</w:t>
      </w:r>
    </w:p>
    <w:p>
      <w:pPr>
        <w:pageBreakBefore w:val="0"/>
        <w:numPr>
          <w:ilvl w:val="0"/>
          <w:numId w:val="2"/>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推荐单位：浙江省食品药品监督管理与产业发展研究会课题的推荐单位为各会员单位及相关研究单位。推荐单位要认真审查课题申报材料。</w:t>
      </w:r>
    </w:p>
    <w:p>
      <w:pPr>
        <w:pageBreakBefore w:val="0"/>
        <w:numPr>
          <w:ilvl w:val="0"/>
          <w:numId w:val="0"/>
        </w:numPr>
        <w:autoSpaceDE/>
        <w:autoSpaceDN/>
        <w:bidi w:val="0"/>
        <w:snapToGrid w:val="0"/>
        <w:spacing w:before="0" w:after="160" w:line="360" w:lineRule="auto"/>
        <w:ind w:right="0" w:firstLine="600"/>
        <w:jc w:val="both"/>
        <w:rPr>
          <w:rFonts w:hint="default" w:ascii="黑体" w:hAnsi="黑体" w:eastAsia="黑体"/>
          <w:color w:val="auto"/>
          <w:position w:val="0"/>
          <w:sz w:val="30"/>
          <w:szCs w:val="30"/>
        </w:rPr>
      </w:pPr>
      <w:r>
        <w:rPr>
          <w:rFonts w:hint="default" w:ascii="黑体" w:hAnsi="黑体" w:eastAsia="黑体"/>
          <w:color w:val="auto"/>
          <w:position w:val="0"/>
          <w:sz w:val="30"/>
          <w:szCs w:val="30"/>
        </w:rPr>
        <w:t>二、研究选题</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（一）【重点课题】和【一般课题】</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研究者根据研究会的宗旨，</w:t>
      </w:r>
      <w:r>
        <w:rPr>
          <w:rFonts w:hint="default" w:ascii="仿宋_GB2312" w:hAnsi="仿宋_GB2312" w:eastAsia="仿宋_GB2312"/>
          <w:b/>
          <w:color w:val="auto"/>
          <w:position w:val="0"/>
          <w:sz w:val="30"/>
          <w:szCs w:val="30"/>
        </w:rPr>
        <w:t>可以就以下选题的某一个方面或从某一个角度自拟题目进行申报，也可以在已有研究基础上自行选题深入研究。</w:t>
      </w:r>
      <w:r>
        <w:rPr>
          <w:rFonts w:hint="default" w:ascii="仿宋_GB2312" w:hAnsi="仿宋_GB2312" w:eastAsia="仿宋_GB2312"/>
          <w:color w:val="auto"/>
          <w:position w:val="0"/>
          <w:sz w:val="30"/>
          <w:szCs w:val="30"/>
        </w:rPr>
        <w:t>选题要求聚焦国内外食品药品相关领域重点、热点问题，围绕浙江省“四品一械”安全监管与产业发展现状，为浙江省食品药品产业发展提供决策建议和技术支持。研究内容具有科学性、严谨性、创造性，并有一定的实践价值和应用价值。</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1、药品、医疗器械方面</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① 药品（医疗器械）安全风险监测预警及评估</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② 药品（医疗器械）现代化治理工程</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③ 药品（医疗器械）第三方检测及评估研究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④ 药品（医疗器械）互联网跨境销售风险管理研究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⑤ 药品（医疗器械）网络安全监管理论与技术研究及在浙江的实践</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⑥ 浙江省药品（医疗器械）集中招标采购问题研究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⑦ 浙江省药品（医疗器械）安全环境调查研究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⑧ 中药处方中饮片代煎制的质量安全与法律监管问题研究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⑨ 提升浙江省执业药师专业服务能力的对策研究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⑩ 浙江省药品生产质量管理现状与GMP立体培训体系建设研究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⑪ 浙江省药品经营质量管理现状与GSP立体培训体系建设研究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⑫ 仿制药一致性评价研究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⑬ 地方医药志研究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⑭ 其他</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2、食品、保健食品方面</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① 浙江省重点食品污染谱系分布调研及对策</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② 浙江省食品安全风险监测体系建设</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③ 浙江省居民食物消费量调查及食品风险评估数据库建设</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④ 基于互联网+的食品安全风险评估关键技术研究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⑤ 食用农产品准出质量提升工程（农超对接）</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⑥ 食品经营新业态的监管机制建设</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⑦ 重大活动食品、餐饮安全保障制度建设与运用</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⑧ 食品、餐饮冷链配送标准及监管关键技术研究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⑨ 食品溯源关键技术研发与应用</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⑩ 保健食品网络经营的精准监管示范建设</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⑪ 食品安全快速检测标准制定</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⑫ 检验机构风险检测、评估、预警体系建设</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⑬ 其他</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3、政府监管方面</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① 监管资源与监管任务匹配度研究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② 监管人才队伍建设研究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③ 监管部门在政府和公众中的作用和形象研究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④ 基于大数据的食品药品智慧监管方式研究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⑤ 第三方监管模式研究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⑥ 基于“药食同源”产品的药食分开管理的界定问题研究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⑦ 其他</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4、健康产业方面</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① 健康产业园区精准服务研究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② 中高端医疗器械国产化研究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③ “两票制”背景下企业发展研究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④ 监管能力提升与产业健康发展的关系</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⑤ 浙江省食品、医疗器械、生物医药产业结构优化路径研究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⑥ 用电子商务促进浙江医药产业资源优化整合的路径研究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⑦ 浙江省食品药品专业结构调整与产业发展之间的互动效应研究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⑧ 浙江省食品药品产业发展与专业人才供应之间的匹配度研究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val="0"/>
          <w:color w:val="auto"/>
          <w:position w:val="0"/>
          <w:sz w:val="30"/>
          <w:szCs w:val="30"/>
        </w:rPr>
      </w:pPr>
      <w:r>
        <w:rPr>
          <w:rFonts w:hint="default" w:ascii="仿宋_GB2312" w:hAnsi="仿宋_GB2312" w:eastAsia="仿宋_GB2312"/>
          <w:b w:val="0"/>
          <w:color w:val="auto"/>
          <w:position w:val="0"/>
          <w:sz w:val="30"/>
          <w:szCs w:val="30"/>
        </w:rPr>
        <w:t>⑨ “浙八味”产业发展的政策与体制研究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b/>
          <w:color w:val="auto"/>
          <w:position w:val="0"/>
          <w:sz w:val="30"/>
          <w:szCs w:val="30"/>
        </w:rPr>
      </w:pPr>
      <w:r>
        <w:rPr>
          <w:rFonts w:hint="default" w:ascii="仿宋_GB2312" w:hAnsi="仿宋_GB2312" w:eastAsia="仿宋_GB2312"/>
          <w:b w:val="0"/>
          <w:color w:val="auto"/>
          <w:position w:val="0"/>
          <w:sz w:val="30"/>
          <w:szCs w:val="30"/>
        </w:rPr>
        <w:t>⑩ 其他</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（二）【专项课题】</w:t>
      </w:r>
    </w:p>
    <w:p>
      <w:pPr>
        <w:pageBreakBefore w:val="0"/>
        <w:numPr>
          <w:ilvl w:val="0"/>
          <w:numId w:val="0"/>
        </w:numPr>
        <w:autoSpaceDE/>
        <w:autoSpaceDN/>
        <w:bidi w:val="0"/>
        <w:snapToGrid w:val="0"/>
        <w:spacing w:before="0" w:after="160" w:line="360" w:lineRule="auto"/>
        <w:ind w:right="0" w:firstLine="600"/>
        <w:jc w:val="both"/>
        <w:rPr>
          <w:rFonts w:hint="default" w:ascii="仿宋_GB2312" w:hAnsi="Times New Roman" w:eastAsia="Times New Roman"/>
          <w:color w:val="auto"/>
          <w:position w:val="0"/>
          <w:sz w:val="30"/>
          <w:szCs w:val="30"/>
        </w:rPr>
      </w:pPr>
      <w:r>
        <w:rPr>
          <w:rFonts w:hint="default" w:ascii="仿宋_GB2312" w:hAnsi="Times New Roman" w:eastAsia="Times New Roman"/>
          <w:color w:val="auto"/>
          <w:position w:val="0"/>
          <w:sz w:val="30"/>
          <w:szCs w:val="30"/>
        </w:rPr>
        <w:t>主要接受浙江省食品安全市、县（市、区）创建工作评估项目和化妆品“百千万”</w:t>
      </w:r>
      <w:bookmarkStart w:id="0" w:name="_GoBack"/>
      <w:bookmarkEnd w:id="0"/>
      <w:r>
        <w:rPr>
          <w:rFonts w:hint="default" w:ascii="仿宋_GB2312" w:hAnsi="Times New Roman" w:eastAsia="Times New Roman"/>
          <w:color w:val="auto"/>
          <w:position w:val="0"/>
          <w:sz w:val="30"/>
          <w:szCs w:val="30"/>
        </w:rPr>
        <w:t>美丽工程调研项目主要参与人员申报。</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（二）【成果申报】</w:t>
      </w:r>
    </w:p>
    <w:p>
      <w:pPr>
        <w:pageBreakBefore w:val="0"/>
        <w:numPr>
          <w:ilvl w:val="0"/>
          <w:numId w:val="0"/>
        </w:numPr>
        <w:autoSpaceDE/>
        <w:autoSpaceDN/>
        <w:bidi w:val="0"/>
        <w:snapToGrid w:val="0"/>
        <w:spacing w:before="0" w:after="160" w:line="360" w:lineRule="auto"/>
        <w:ind w:right="0" w:firstLine="600"/>
        <w:jc w:val="both"/>
        <w:rPr>
          <w:rFonts w:hint="default" w:ascii="仿宋_GB2312" w:hAnsi="Times New Roman" w:eastAsia="Times New Roman"/>
          <w:color w:val="auto"/>
          <w:position w:val="0"/>
          <w:sz w:val="30"/>
          <w:szCs w:val="30"/>
        </w:rPr>
      </w:pPr>
      <w:r>
        <w:rPr>
          <w:rFonts w:hint="default" w:ascii="仿宋_GB2312" w:hAnsi="Times New Roman" w:eastAsia="Times New Roman"/>
          <w:color w:val="auto"/>
          <w:position w:val="0"/>
          <w:sz w:val="30"/>
          <w:szCs w:val="30"/>
        </w:rPr>
        <w:t>各研究中心（目前专指浙江药物一致性评价研究中心和浙江现代医药物流研究中心）在各自研究领域内，根据年度计划开展相应研究。经研究中心推荐、专家评审后立项并结题。</w:t>
      </w:r>
    </w:p>
    <w:p>
      <w:pPr>
        <w:pageBreakBefore w:val="0"/>
        <w:numPr>
          <w:ilvl w:val="0"/>
          <w:numId w:val="0"/>
        </w:numPr>
        <w:autoSpaceDE/>
        <w:autoSpaceDN/>
        <w:bidi w:val="0"/>
        <w:snapToGrid w:val="0"/>
        <w:spacing w:before="0" w:after="160" w:line="360" w:lineRule="auto"/>
        <w:ind w:right="0" w:firstLine="600"/>
        <w:jc w:val="both"/>
        <w:rPr>
          <w:rFonts w:hint="default" w:ascii="黑体" w:hAnsi="黑体" w:eastAsia="黑体"/>
          <w:color w:val="auto"/>
          <w:position w:val="0"/>
          <w:sz w:val="30"/>
          <w:szCs w:val="30"/>
        </w:rPr>
      </w:pPr>
      <w:r>
        <w:rPr>
          <w:rFonts w:hint="default" w:ascii="黑体" w:hAnsi="黑体" w:eastAsia="黑体"/>
          <w:color w:val="auto"/>
          <w:position w:val="0"/>
          <w:sz w:val="30"/>
          <w:szCs w:val="30"/>
        </w:rPr>
        <w:t>四、申报方式</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1、申报时需递交材料：【重点项目】、【一般项目】、</w:t>
      </w:r>
      <w:r>
        <w:rPr>
          <w:rFonts w:hint="eastAsia" w:ascii="仿宋_GB2312" w:hAnsi="仿宋_GB2312" w:eastAsia="仿宋_GB2312"/>
          <w:b/>
          <w:color w:val="auto"/>
          <w:position w:val="0"/>
          <w:sz w:val="30"/>
          <w:szCs w:val="30"/>
          <w:lang w:eastAsia="zh-CN"/>
        </w:rPr>
        <w:t>【</w:t>
      </w:r>
      <w:r>
        <w:rPr>
          <w:rFonts w:hint="default" w:ascii="仿宋_GB2312" w:hAnsi="仿宋_GB2312" w:eastAsia="仿宋_GB2312"/>
          <w:b/>
          <w:color w:val="auto"/>
          <w:position w:val="0"/>
          <w:sz w:val="30"/>
          <w:szCs w:val="30"/>
        </w:rPr>
        <w:t>专项课题</w:t>
      </w:r>
      <w:r>
        <w:rPr>
          <w:rFonts w:hint="eastAsia" w:ascii="仿宋_GB2312" w:hAnsi="仿宋_GB2312" w:eastAsia="仿宋_GB2312"/>
          <w:b/>
          <w:color w:val="auto"/>
          <w:position w:val="0"/>
          <w:sz w:val="30"/>
          <w:szCs w:val="30"/>
          <w:lang w:eastAsia="zh-CN"/>
        </w:rPr>
        <w:t>】</w:t>
      </w:r>
      <w:r>
        <w:rPr>
          <w:rFonts w:hint="default" w:ascii="仿宋_GB2312" w:hAnsi="仿宋_GB2312" w:eastAsia="仿宋_GB2312"/>
          <w:b/>
          <w:color w:val="auto"/>
          <w:position w:val="0"/>
          <w:sz w:val="30"/>
          <w:szCs w:val="30"/>
        </w:rPr>
        <w:t>，提交《研究会课题申请书》；【成果申报】提交《成果立项申请书》和相应佐证。</w:t>
      </w:r>
    </w:p>
    <w:p>
      <w:pPr>
        <w:pageBreakBefore w:val="0"/>
        <w:numPr>
          <w:ilvl w:val="0"/>
          <w:numId w:val="0"/>
        </w:numPr>
        <w:autoSpaceDE/>
        <w:autoSpaceDN/>
        <w:bidi w:val="0"/>
        <w:snapToGrid w:val="0"/>
        <w:spacing w:before="0" w:after="160" w:line="360" w:lineRule="auto"/>
        <w:ind w:right="320" w:firstLine="602"/>
        <w:jc w:val="left"/>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2、【重点课题】、【一般课题】、【专项课题】需在研究会官网上进行网络申报，截止日期2018年3月11日，填报完后导出打印，纸质版材料一式两份，盖章后于2018年3月20前寄送至研究会。</w:t>
      </w:r>
    </w:p>
    <w:p>
      <w:pPr>
        <w:pageBreakBefore w:val="0"/>
        <w:numPr>
          <w:ilvl w:val="0"/>
          <w:numId w:val="0"/>
        </w:numPr>
        <w:autoSpaceDE/>
        <w:autoSpaceDN/>
        <w:bidi w:val="0"/>
        <w:snapToGrid w:val="0"/>
        <w:spacing w:before="0" w:after="160" w:line="360" w:lineRule="auto"/>
        <w:ind w:right="320" w:firstLine="602"/>
        <w:jc w:val="left"/>
        <w:rPr>
          <w:rFonts w:hint="default" w:ascii="仿宋_GB2312" w:hAnsi="仿宋_GB2312" w:eastAsia="仿宋_GB2312"/>
          <w:color w:val="auto"/>
          <w:position w:val="0"/>
          <w:sz w:val="30"/>
          <w:szCs w:val="30"/>
        </w:rPr>
      </w:pPr>
      <w:r>
        <w:rPr>
          <w:rFonts w:hint="default" w:ascii="仿宋_GB2312" w:hAnsi="仿宋_GB2312" w:eastAsia="仿宋_GB2312"/>
          <w:b/>
          <w:color w:val="auto"/>
          <w:position w:val="0"/>
          <w:sz w:val="30"/>
          <w:szCs w:val="30"/>
        </w:rPr>
        <w:t>3、【成果申报】项目无需网络申报，电子版材料于2018年3月11日前发送至研究会邮箱，纸质版材料一式两份，盖章后于2018年3月20前寄送至研究会。</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color w:val="auto"/>
          <w:position w:val="0"/>
          <w:sz w:val="30"/>
          <w:szCs w:val="30"/>
        </w:rPr>
      </w:pPr>
      <w:r>
        <w:rPr>
          <w:rFonts w:hint="default" w:ascii="仿宋_GB2312" w:hAnsi="仿宋_GB2312" w:eastAsia="仿宋_GB2312"/>
          <w:b/>
          <w:color w:val="auto"/>
          <w:position w:val="0"/>
          <w:sz w:val="30"/>
          <w:szCs w:val="30"/>
        </w:rPr>
        <w:t>4、网络申报操作步骤：</w:t>
      </w:r>
    </w:p>
    <w:p>
      <w:pPr>
        <w:pageBreakBefore w:val="0"/>
        <w:numPr>
          <w:ilvl w:val="0"/>
          <w:numId w:val="0"/>
        </w:numPr>
        <w:autoSpaceDE/>
        <w:autoSpaceDN/>
        <w:bidi w:val="0"/>
        <w:snapToGrid w:val="0"/>
        <w:spacing w:before="0" w:after="160" w:line="360" w:lineRule="auto"/>
        <w:ind w:right="0" w:firstLine="602"/>
        <w:jc w:val="both"/>
        <w:rPr>
          <w:rFonts w:hint="default" w:ascii="仿宋_GB2312" w:hAnsi="仿宋_GB2312" w:eastAsia="仿宋_GB2312"/>
          <w:b/>
          <w:color w:val="auto"/>
          <w:position w:val="0"/>
          <w:sz w:val="30"/>
          <w:szCs w:val="30"/>
        </w:rPr>
      </w:pPr>
      <w:r>
        <w:rPr>
          <w:rFonts w:hint="default" w:ascii="仿宋_GB2312" w:hAnsi="仿宋_GB2312" w:eastAsia="仿宋_GB2312"/>
          <w:b/>
          <w:color w:val="auto"/>
          <w:position w:val="0"/>
          <w:sz w:val="30"/>
          <w:szCs w:val="30"/>
        </w:rPr>
        <w:t>① 登录研究会官网 http://www.zjfdr.org.cn/</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② 进入“课题管理”板块。</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sz w:val="20"/>
        </w:rPr>
        <w:drawing>
          <wp:inline distT="0" distB="0" distL="0" distR="0">
            <wp:extent cx="4011295" cy="1344295"/>
            <wp:effectExtent l="0" t="0" r="8255" b="8255"/>
            <wp:docPr id="13" name="图片 1" descr="火狐截图_2018-01-23T00-45-57.59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火狐截图_2018-01-23T00-45-57.598Z"/>
                    <pic:cNvPicPr>
                      <a:picLocks noChangeAspect="1" noChangeArrowheads="1"/>
                    </pic:cNvPicPr>
                  </pic:nvPicPr>
                  <pic:blipFill>
                    <a:blip r:embed="rId5" cstate="print"/>
                    <a:stretch>
                      <a:fillRect/>
                    </a:stretch>
                  </pic:blipFill>
                  <pic:spPr>
                    <a:xfrm>
                      <a:off x="0" y="0"/>
                      <a:ext cx="4011930" cy="1344930"/>
                    </a:xfrm>
                    <a:prstGeom prst="rect">
                      <a:avLst/>
                    </a:prstGeom>
                    <a:ln cap="flat"/>
                  </pic:spPr>
                </pic:pic>
              </a:graphicData>
            </a:graphic>
          </wp:inline>
        </w:drawing>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③ 选择左边的“课题申报”。</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sz w:val="20"/>
        </w:rPr>
        <w:drawing>
          <wp:inline distT="0" distB="0" distL="0" distR="0">
            <wp:extent cx="1399540" cy="3258820"/>
            <wp:effectExtent l="0" t="0" r="10160" b="17780"/>
            <wp:docPr id="14" name="图片 4" descr="火狐截图_2018-01-23T01-01-33.87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火狐截图_2018-01-23T01-01-33.878Z"/>
                    <pic:cNvPicPr>
                      <a:picLocks noChangeAspect="1" noChangeArrowheads="1"/>
                    </pic:cNvPicPr>
                  </pic:nvPicPr>
                  <pic:blipFill>
                    <a:blip r:embed="rId6" cstate="print"/>
                    <a:stretch>
                      <a:fillRect/>
                    </a:stretch>
                  </pic:blipFill>
                  <pic:spPr>
                    <a:xfrm>
                      <a:off x="0" y="0"/>
                      <a:ext cx="1400175" cy="3259455"/>
                    </a:xfrm>
                    <a:prstGeom prst="rect">
                      <a:avLst/>
                    </a:prstGeom>
                    <a:ln cap="flat"/>
                  </pic:spPr>
                </pic:pic>
              </a:graphicData>
            </a:graphic>
          </wp:inline>
        </w:drawing>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④ 用邮箱注册或登录。</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sz w:val="20"/>
        </w:rPr>
        <w:drawing>
          <wp:inline distT="0" distB="0" distL="0" distR="0">
            <wp:extent cx="3596640" cy="1551940"/>
            <wp:effectExtent l="0" t="0" r="3810" b="10160"/>
            <wp:docPr id="15" name="图片 3" descr="火狐截图_2018-01-23T00-59-39.43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火狐截图_2018-01-23T00-59-39.432Z"/>
                    <pic:cNvPicPr>
                      <a:picLocks noChangeAspect="1" noChangeArrowheads="1"/>
                    </pic:cNvPicPr>
                  </pic:nvPicPr>
                  <pic:blipFill>
                    <a:blip r:embed="rId7" cstate="print"/>
                    <a:stretch>
                      <a:fillRect/>
                    </a:stretch>
                  </pic:blipFill>
                  <pic:spPr>
                    <a:xfrm>
                      <a:off x="0" y="0"/>
                      <a:ext cx="3597275" cy="1552575"/>
                    </a:xfrm>
                    <a:prstGeom prst="rect">
                      <a:avLst/>
                    </a:prstGeom>
                    <a:ln cap="flat"/>
                  </pic:spPr>
                </pic:pic>
              </a:graphicData>
            </a:graphic>
          </wp:inline>
        </w:drawing>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⑤ 选择“新增申报”后即可开始申报。</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sz w:val="20"/>
        </w:rPr>
        <w:drawing>
          <wp:inline distT="0" distB="0" distL="0" distR="0">
            <wp:extent cx="1454785" cy="2315210"/>
            <wp:effectExtent l="0" t="0" r="12065" b="8890"/>
            <wp:docPr id="16" name="图片 5" descr="火狐截图_2018-01-23T01-03-10.536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火狐截图_2018-01-23T01-03-10.536Z"/>
                    <pic:cNvPicPr>
                      <a:picLocks noChangeAspect="1" noChangeArrowheads="1"/>
                    </pic:cNvPicPr>
                  </pic:nvPicPr>
                  <pic:blipFill>
                    <a:blip r:embed="rId8" cstate="print"/>
                    <a:stretch>
                      <a:fillRect/>
                    </a:stretch>
                  </pic:blipFill>
                  <pic:spPr>
                    <a:xfrm>
                      <a:off x="0" y="0"/>
                      <a:ext cx="1455420" cy="2315845"/>
                    </a:xfrm>
                    <a:prstGeom prst="rect">
                      <a:avLst/>
                    </a:prstGeom>
                    <a:ln cap="flat"/>
                  </pic:spPr>
                </pic:pic>
              </a:graphicData>
            </a:graphic>
          </wp:inline>
        </w:drawing>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⑥ 填写完成后选择“提交”。</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⑦ 选择“课题数据导出”，网站将对您所填写的内容自动整合形成word供您下载打印。</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sz w:val="20"/>
        </w:rPr>
        <w:drawing>
          <wp:inline distT="0" distB="0" distL="0" distR="0">
            <wp:extent cx="5264150" cy="1376680"/>
            <wp:effectExtent l="0" t="0" r="12700" b="13970"/>
            <wp:docPr id="17" name="图片 6" descr="火狐截图_2018-01-23T01-05-19.61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火狐截图_2018-01-23T01-05-19.614Z"/>
                    <pic:cNvPicPr>
                      <a:picLocks noChangeAspect="1" noChangeArrowheads="1"/>
                    </pic:cNvPicPr>
                  </pic:nvPicPr>
                  <pic:blipFill>
                    <a:blip r:embed="rId9" cstate="print"/>
                    <a:stretch>
                      <a:fillRect/>
                    </a:stretch>
                  </pic:blipFill>
                  <pic:spPr>
                    <a:xfrm>
                      <a:off x="0" y="0"/>
                      <a:ext cx="5264785" cy="1377315"/>
                    </a:xfrm>
                    <a:prstGeom prst="rect">
                      <a:avLst/>
                    </a:prstGeom>
                    <a:ln cap="flat"/>
                  </pic:spPr>
                </pic:pic>
              </a:graphicData>
            </a:graphic>
          </wp:inline>
        </w:drawing>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p>
    <w:p>
      <w:pPr>
        <w:pageBreakBefore w:val="0"/>
        <w:numPr>
          <w:ilvl w:val="0"/>
          <w:numId w:val="2"/>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研究会邮箱：zheyanhui2014@163.com</w:t>
      </w:r>
    </w:p>
    <w:p>
      <w:pPr>
        <w:pageBreakBefore w:val="0"/>
        <w:numPr>
          <w:ilvl w:val="0"/>
          <w:numId w:val="2"/>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纸质材料寄送地址：宁波市鄞州区鄞县大道888号浙江医药高等专科学校行政楼525，邮编：315100</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联系人：周老师   0574-88314951、17857073347；</w:t>
      </w:r>
    </w:p>
    <w:sectPr>
      <w:footerReference r:id="rId3" w:type="default"/>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numPr>
        <w:ilvl w:val="0"/>
        <w:numId w:val="0"/>
      </w:numPr>
      <w:autoSpaceDE/>
      <w:autoSpaceDN/>
      <w:snapToGrid w:val="0"/>
      <w:spacing w:before="0" w:after="160" w:line="240" w:lineRule="auto"/>
      <w:ind w:right="0" w:firstLine="0"/>
      <w:jc w:val="center"/>
      <w:rPr>
        <w:rFonts w:hint="default" w:ascii="Calibri" w:hAnsi="宋体" w:eastAsia="宋体"/>
        <w:color w:val="auto"/>
        <w:position w:val="0"/>
        <w:sz w:val="18"/>
        <w:szCs w:val="18"/>
      </w:rPr>
    </w:pPr>
    <w:r>
      <w:rPr>
        <w:rFonts w:hint="default" w:ascii="Calibri" w:hAnsi="宋体" w:eastAsia="宋体"/>
        <w:color w:val="auto"/>
        <w:position w:val="0"/>
        <w:sz w:val="18"/>
        <w:szCs w:val="18"/>
      </w:rPr>
      <w:fldChar w:fldCharType="begin"/>
    </w:r>
    <w:r>
      <w:instrText xml:space="preserve">PAGE  \* MERGEFORMAT</w:instrText>
    </w:r>
    <w:r>
      <w:fldChar w:fldCharType="separate"/>
    </w:r>
    <w:r>
      <w:rPr>
        <w:rFonts w:hint="default" w:ascii="Calibri" w:hAnsi="宋体" w:eastAsia="宋体"/>
        <w:color w:val="auto"/>
        <w:position w:val="0"/>
        <w:sz w:val="18"/>
        <w:szCs w:val="18"/>
      </w:rPr>
      <w:t>8</w:t>
    </w:r>
    <w:r>
      <w:rPr>
        <w:rFonts w:hint="default" w:ascii="Calibri" w:hAnsi="宋体" w:eastAsia="宋体"/>
        <w:color w:val="auto"/>
        <w:position w:val="0"/>
        <w:sz w:val="18"/>
        <w:szCs w:val="18"/>
      </w:rPr>
      <w:fldChar w:fldCharType="end"/>
    </w:r>
  </w:p>
  <w:p>
    <w:pPr>
      <w:pStyle w:val="15"/>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suff w:val="nothing"/>
      <w:lvlText w:val="%1　"/>
      <w:lvlJc w:val="left"/>
      <w:pPr>
        <w:ind w:firstLine="400"/>
        <w:jc w:val="both"/>
      </w:pPr>
      <w:rPr>
        <w:w w:val="100"/>
        <w:sz w:val="20"/>
        <w:szCs w:val="20"/>
        <w:shd w:val="clear"/>
      </w:rPr>
    </w:lvl>
    <w:lvl w:ilvl="1" w:tentative="0">
      <w:start w:val="1"/>
      <w:numFmt w:val="decimal"/>
      <w:suff w:val="nothing"/>
      <w:lvlText w:val="%1　"/>
      <w:lvlJc w:val="left"/>
      <w:pPr>
        <w:ind w:firstLine="400"/>
        <w:jc w:val="both"/>
      </w:pPr>
      <w:rPr>
        <w:w w:val="100"/>
        <w:sz w:val="20"/>
        <w:szCs w:val="20"/>
        <w:shd w:val="clear"/>
      </w:rPr>
    </w:lvl>
    <w:lvl w:ilvl="2" w:tentative="0">
      <w:start w:val="1"/>
      <w:numFmt w:val="decimal"/>
      <w:suff w:val="nothing"/>
      <w:lvlText w:val="%1　"/>
      <w:lvlJc w:val="left"/>
      <w:pPr>
        <w:ind w:firstLine="400"/>
        <w:jc w:val="both"/>
      </w:pPr>
      <w:rPr>
        <w:w w:val="100"/>
        <w:sz w:val="20"/>
        <w:szCs w:val="20"/>
        <w:shd w:val="clear"/>
      </w:rPr>
    </w:lvl>
    <w:lvl w:ilvl="3" w:tentative="0">
      <w:start w:val="1"/>
      <w:numFmt w:val="decimal"/>
      <w:suff w:val="nothing"/>
      <w:lvlText w:val="%1　"/>
      <w:lvlJc w:val="left"/>
      <w:pPr>
        <w:ind w:firstLine="400"/>
        <w:jc w:val="both"/>
      </w:pPr>
      <w:rPr>
        <w:w w:val="100"/>
        <w:sz w:val="20"/>
        <w:szCs w:val="20"/>
        <w:shd w:val="clear"/>
      </w:rPr>
    </w:lvl>
    <w:lvl w:ilvl="4" w:tentative="0">
      <w:start w:val="1"/>
      <w:numFmt w:val="decimal"/>
      <w:suff w:val="nothing"/>
      <w:lvlText w:val="%1　"/>
      <w:lvlJc w:val="left"/>
      <w:pPr>
        <w:ind w:firstLine="400"/>
        <w:jc w:val="both"/>
      </w:pPr>
      <w:rPr>
        <w:w w:val="100"/>
        <w:sz w:val="20"/>
        <w:szCs w:val="20"/>
        <w:shd w:val="clear"/>
      </w:rPr>
    </w:lvl>
    <w:lvl w:ilvl="5" w:tentative="0">
      <w:start w:val="1"/>
      <w:numFmt w:val="decimal"/>
      <w:suff w:val="nothing"/>
      <w:lvlText w:val="%1　"/>
      <w:lvlJc w:val="left"/>
      <w:pPr>
        <w:ind w:firstLine="400"/>
        <w:jc w:val="both"/>
      </w:pPr>
      <w:rPr>
        <w:w w:val="100"/>
        <w:sz w:val="20"/>
        <w:szCs w:val="20"/>
        <w:shd w:val="clear"/>
      </w:rPr>
    </w:lvl>
    <w:lvl w:ilvl="6" w:tentative="0">
      <w:start w:val="1"/>
      <w:numFmt w:val="decimal"/>
      <w:suff w:val="nothing"/>
      <w:lvlText w:val="%1　"/>
      <w:lvlJc w:val="left"/>
      <w:pPr>
        <w:ind w:firstLine="400"/>
        <w:jc w:val="both"/>
      </w:pPr>
      <w:rPr>
        <w:w w:val="100"/>
        <w:sz w:val="20"/>
        <w:szCs w:val="20"/>
        <w:shd w:val="clear"/>
      </w:rPr>
    </w:lvl>
    <w:lvl w:ilvl="7" w:tentative="0">
      <w:start w:val="1"/>
      <w:numFmt w:val="decimal"/>
      <w:suff w:val="nothing"/>
      <w:lvlText w:val="%1　"/>
      <w:lvlJc w:val="left"/>
      <w:pPr>
        <w:ind w:firstLine="400"/>
        <w:jc w:val="both"/>
      </w:pPr>
      <w:rPr>
        <w:w w:val="100"/>
        <w:sz w:val="20"/>
        <w:szCs w:val="20"/>
        <w:shd w:val="clear"/>
      </w:rPr>
    </w:lvl>
    <w:lvl w:ilvl="8" w:tentative="0">
      <w:start w:val="1"/>
      <w:numFmt w:val="decimal"/>
      <w:suff w:val="nothing"/>
      <w:lvlText w:val="%1　"/>
      <w:lvlJc w:val="left"/>
      <w:pPr>
        <w:ind w:firstLine="400"/>
        <w:jc w:val="both"/>
      </w:pPr>
      <w:rPr>
        <w:w w:val="100"/>
        <w:sz w:val="20"/>
        <w:szCs w:val="20"/>
        <w:shd w:val="clear"/>
      </w:rPr>
    </w:lvl>
  </w:abstractNum>
  <w:abstractNum w:abstractNumId="1">
    <w:nsid w:val="00000001"/>
    <w:multiLevelType w:val="multilevel"/>
    <w:tmpl w:val="00000001"/>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ulTrailSpace/>
    <w:doNotExpandShiftReturn/>
    <w:adjustLineHeightInTable/>
    <w:useFELayout/>
    <w:compatSetting w:name="compatibilityMode" w:uri="http://schemas.microsoft.com/office/word" w:val="14"/>
  </w:compat>
  <w:rsids>
    <w:rsidRoot w:val="00000000"/>
    <w:rsid w:val="3B417D9C"/>
    <w:rsid w:val="509E6FE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Calibri" w:hAnsi="Calibri" w:eastAsia="宋体"/>
      <w:w w:val="100"/>
      <w:sz w:val="21"/>
      <w:szCs w:val="21"/>
      <w:shd w:val="clear"/>
    </w:rPr>
  </w:style>
  <w:style w:type="paragraph" w:styleId="2">
    <w:name w:val="heading 1"/>
    <w:next w:val="1"/>
    <w:qFormat/>
    <w:uiPriority w:val="7"/>
    <w:pPr>
      <w:jc w:val="both"/>
    </w:pPr>
    <w:rPr>
      <w:rFonts w:ascii="Calibri" w:hAnsi="Calibri" w:eastAsia="宋体"/>
      <w:w w:val="100"/>
      <w:sz w:val="28"/>
      <w:szCs w:val="28"/>
      <w:shd w:val="clear"/>
    </w:rPr>
  </w:style>
  <w:style w:type="paragraph" w:styleId="3">
    <w:name w:val="heading 2"/>
    <w:next w:val="1"/>
    <w:qFormat/>
    <w:uiPriority w:val="8"/>
    <w:pPr>
      <w:jc w:val="both"/>
    </w:pPr>
    <w:rPr>
      <w:rFonts w:ascii="Calibri" w:hAnsi="Calibri" w:eastAsia="宋体"/>
      <w:w w:val="100"/>
      <w:sz w:val="21"/>
      <w:szCs w:val="21"/>
      <w:shd w:val="clear"/>
    </w:rPr>
  </w:style>
  <w:style w:type="paragraph" w:styleId="4">
    <w:name w:val="heading 3"/>
    <w:next w:val="1"/>
    <w:qFormat/>
    <w:uiPriority w:val="9"/>
    <w:pPr>
      <w:ind w:left="1000" w:hanging="400"/>
      <w:jc w:val="both"/>
    </w:pPr>
    <w:rPr>
      <w:rFonts w:ascii="Calibri" w:hAnsi="Calibri" w:eastAsia="宋体"/>
      <w:w w:val="100"/>
      <w:sz w:val="21"/>
      <w:szCs w:val="21"/>
      <w:shd w:val="clear"/>
    </w:rPr>
  </w:style>
  <w:style w:type="paragraph" w:styleId="5">
    <w:name w:val="heading 4"/>
    <w:next w:val="1"/>
    <w:qFormat/>
    <w:uiPriority w:val="10"/>
    <w:pPr>
      <w:ind w:left="1200" w:hanging="400"/>
      <w:jc w:val="both"/>
    </w:pPr>
    <w:rPr>
      <w:rFonts w:ascii="Calibri" w:hAnsi="Calibri" w:eastAsia="宋体"/>
      <w:b/>
      <w:w w:val="100"/>
      <w:sz w:val="21"/>
      <w:szCs w:val="21"/>
      <w:shd w:val="clear"/>
    </w:rPr>
  </w:style>
  <w:style w:type="paragraph" w:styleId="6">
    <w:name w:val="heading 5"/>
    <w:next w:val="1"/>
    <w:qFormat/>
    <w:uiPriority w:val="11"/>
    <w:pPr>
      <w:ind w:left="1400" w:hanging="400"/>
      <w:jc w:val="both"/>
    </w:pPr>
    <w:rPr>
      <w:rFonts w:ascii="Calibri" w:hAnsi="Calibri" w:eastAsia="宋体"/>
      <w:w w:val="100"/>
      <w:sz w:val="21"/>
      <w:szCs w:val="21"/>
      <w:shd w:val="clear"/>
    </w:rPr>
  </w:style>
  <w:style w:type="paragraph" w:styleId="7">
    <w:name w:val="heading 6"/>
    <w:next w:val="1"/>
    <w:qFormat/>
    <w:uiPriority w:val="12"/>
    <w:pPr>
      <w:ind w:left="1600" w:hanging="400"/>
      <w:jc w:val="both"/>
    </w:pPr>
    <w:rPr>
      <w:rFonts w:ascii="Calibri" w:hAnsi="Calibri" w:eastAsia="宋体"/>
      <w:b/>
      <w:w w:val="100"/>
      <w:sz w:val="21"/>
      <w:szCs w:val="21"/>
      <w:shd w:val="clear"/>
    </w:rPr>
  </w:style>
  <w:style w:type="paragraph" w:styleId="8">
    <w:name w:val="heading 7"/>
    <w:next w:val="1"/>
    <w:qFormat/>
    <w:uiPriority w:val="13"/>
    <w:pPr>
      <w:ind w:left="1800" w:hanging="400"/>
      <w:jc w:val="both"/>
    </w:pPr>
    <w:rPr>
      <w:rFonts w:ascii="Calibri" w:hAnsi="Calibri" w:eastAsia="宋体"/>
      <w:w w:val="100"/>
      <w:sz w:val="21"/>
      <w:szCs w:val="21"/>
      <w:shd w:val="clear"/>
    </w:rPr>
  </w:style>
  <w:style w:type="paragraph" w:styleId="9">
    <w:name w:val="heading 8"/>
    <w:next w:val="1"/>
    <w:qFormat/>
    <w:uiPriority w:val="14"/>
    <w:pPr>
      <w:ind w:left="2000" w:hanging="400"/>
      <w:jc w:val="both"/>
    </w:pPr>
    <w:rPr>
      <w:rFonts w:ascii="Calibri" w:hAnsi="Calibri" w:eastAsia="宋体"/>
      <w:w w:val="100"/>
      <w:sz w:val="21"/>
      <w:szCs w:val="21"/>
      <w:shd w:val="clear"/>
    </w:rPr>
  </w:style>
  <w:style w:type="paragraph" w:styleId="10">
    <w:name w:val="heading 9"/>
    <w:next w:val="1"/>
    <w:qFormat/>
    <w:uiPriority w:val="15"/>
    <w:pPr>
      <w:ind w:left="2200" w:hanging="400"/>
      <w:jc w:val="both"/>
    </w:pPr>
    <w:rPr>
      <w:rFonts w:ascii="Calibri" w:hAnsi="Calibri" w:eastAsia="宋体"/>
      <w:w w:val="100"/>
      <w:sz w:val="21"/>
      <w:szCs w:val="21"/>
      <w:shd w:val="clear"/>
    </w:rPr>
  </w:style>
  <w:style w:type="character" w:default="1" w:styleId="23">
    <w:name w:val="Default Paragraph Font"/>
    <w:semiHidden/>
    <w:qFormat/>
    <w:uiPriority w:val="2"/>
  </w:style>
  <w:style w:type="table" w:default="1" w:styleId="26">
    <w:name w:val="Normal Table"/>
    <w:semiHidden/>
    <w:qFormat/>
    <w:uiPriority w:val="3"/>
    <w:tblPr>
      <w:tblLayout w:type="fixed"/>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Calibri" w:hAnsi="Calibri" w:eastAsia="宋体"/>
      <w:w w:val="100"/>
      <w:sz w:val="21"/>
      <w:szCs w:val="21"/>
      <w:shd w:val="clear"/>
    </w:rPr>
  </w:style>
  <w:style w:type="paragraph" w:styleId="12">
    <w:name w:val="toc 5"/>
    <w:next w:val="1"/>
    <w:unhideWhenUsed/>
    <w:qFormat/>
    <w:uiPriority w:val="32"/>
    <w:pPr>
      <w:ind w:left="1700" w:firstLine="0"/>
      <w:jc w:val="both"/>
    </w:pPr>
    <w:rPr>
      <w:rFonts w:ascii="Calibri" w:hAnsi="Calibri" w:eastAsia="宋体"/>
      <w:w w:val="100"/>
      <w:sz w:val="21"/>
      <w:szCs w:val="21"/>
      <w:shd w:val="clear"/>
    </w:rPr>
  </w:style>
  <w:style w:type="paragraph" w:styleId="13">
    <w:name w:val="toc 3"/>
    <w:next w:val="1"/>
    <w:unhideWhenUsed/>
    <w:qFormat/>
    <w:uiPriority w:val="30"/>
    <w:pPr>
      <w:ind w:left="850" w:firstLine="0"/>
      <w:jc w:val="both"/>
    </w:pPr>
    <w:rPr>
      <w:rFonts w:ascii="Calibri" w:hAnsi="Calibri" w:eastAsia="宋体"/>
      <w:w w:val="100"/>
      <w:sz w:val="21"/>
      <w:szCs w:val="21"/>
      <w:shd w:val="clear"/>
    </w:rPr>
  </w:style>
  <w:style w:type="paragraph" w:styleId="14">
    <w:name w:val="toc 8"/>
    <w:next w:val="1"/>
    <w:unhideWhenUsed/>
    <w:qFormat/>
    <w:uiPriority w:val="35"/>
    <w:pPr>
      <w:ind w:left="2975" w:firstLine="0"/>
      <w:jc w:val="both"/>
    </w:pPr>
    <w:rPr>
      <w:rFonts w:ascii="Calibri" w:hAnsi="Calibri" w:eastAsia="宋体"/>
      <w:w w:val="100"/>
      <w:sz w:val="21"/>
      <w:szCs w:val="21"/>
      <w:shd w:val="clear"/>
    </w:rPr>
  </w:style>
  <w:style w:type="paragraph" w:styleId="15">
    <w:name w:val="footer"/>
    <w:basedOn w:val="1"/>
    <w:qFormat/>
    <w:uiPriority w:val="151"/>
    <w:pPr>
      <w:widowControl/>
      <w:tabs>
        <w:tab w:val="center" w:pos="4153"/>
        <w:tab w:val="right" w:pos="8306"/>
      </w:tabs>
      <w:wordWrap/>
      <w:autoSpaceDE/>
      <w:autoSpaceDN/>
    </w:pPr>
    <w:rPr>
      <w:w w:val="100"/>
      <w:sz w:val="18"/>
      <w:szCs w:val="18"/>
      <w:shd w:val="clear"/>
    </w:rPr>
  </w:style>
  <w:style w:type="paragraph" w:styleId="16">
    <w:name w:val="toc 1"/>
    <w:next w:val="1"/>
    <w:unhideWhenUsed/>
    <w:qFormat/>
    <w:uiPriority w:val="28"/>
    <w:pPr>
      <w:jc w:val="both"/>
    </w:pPr>
    <w:rPr>
      <w:rFonts w:ascii="Calibri" w:hAnsi="Calibri" w:eastAsia="宋体"/>
      <w:w w:val="100"/>
      <w:sz w:val="21"/>
      <w:szCs w:val="21"/>
      <w:shd w:val="clear"/>
    </w:rPr>
  </w:style>
  <w:style w:type="paragraph" w:styleId="17">
    <w:name w:val="toc 4"/>
    <w:next w:val="1"/>
    <w:unhideWhenUsed/>
    <w:qFormat/>
    <w:uiPriority w:val="31"/>
    <w:pPr>
      <w:ind w:left="1275" w:firstLine="0"/>
      <w:jc w:val="both"/>
    </w:pPr>
    <w:rPr>
      <w:rFonts w:ascii="Calibri" w:hAnsi="Calibri" w:eastAsia="宋体"/>
      <w:w w:val="100"/>
      <w:sz w:val="21"/>
      <w:szCs w:val="21"/>
      <w:shd w:val="clear"/>
    </w:rPr>
  </w:style>
  <w:style w:type="paragraph" w:styleId="18">
    <w:name w:val="Subtitle"/>
    <w:qFormat/>
    <w:uiPriority w:val="16"/>
    <w:pPr>
      <w:jc w:val="center"/>
    </w:pPr>
    <w:rPr>
      <w:rFonts w:ascii="Calibri" w:hAnsi="Calibri" w:eastAsia="宋体"/>
      <w:w w:val="100"/>
      <w:sz w:val="24"/>
      <w:szCs w:val="24"/>
      <w:shd w:val="clear"/>
    </w:rPr>
  </w:style>
  <w:style w:type="paragraph" w:styleId="19">
    <w:name w:val="toc 6"/>
    <w:next w:val="1"/>
    <w:unhideWhenUsed/>
    <w:qFormat/>
    <w:uiPriority w:val="33"/>
    <w:pPr>
      <w:ind w:left="2125" w:firstLine="0"/>
      <w:jc w:val="both"/>
    </w:pPr>
    <w:rPr>
      <w:rFonts w:ascii="Calibri" w:hAnsi="Calibri" w:eastAsia="宋体"/>
      <w:w w:val="100"/>
      <w:sz w:val="21"/>
      <w:szCs w:val="21"/>
      <w:shd w:val="clear"/>
    </w:rPr>
  </w:style>
  <w:style w:type="paragraph" w:styleId="20">
    <w:name w:val="toc 2"/>
    <w:next w:val="1"/>
    <w:unhideWhenUsed/>
    <w:qFormat/>
    <w:uiPriority w:val="29"/>
    <w:pPr>
      <w:ind w:left="425" w:firstLine="0"/>
      <w:jc w:val="both"/>
    </w:pPr>
    <w:rPr>
      <w:rFonts w:ascii="Calibri" w:hAnsi="Calibri" w:eastAsia="宋体"/>
      <w:w w:val="100"/>
      <w:sz w:val="21"/>
      <w:szCs w:val="21"/>
      <w:shd w:val="clear"/>
    </w:rPr>
  </w:style>
  <w:style w:type="paragraph" w:styleId="21">
    <w:name w:val="toc 9"/>
    <w:next w:val="1"/>
    <w:unhideWhenUsed/>
    <w:qFormat/>
    <w:uiPriority w:val="36"/>
    <w:pPr>
      <w:ind w:left="3400" w:firstLine="0"/>
      <w:jc w:val="both"/>
    </w:pPr>
    <w:rPr>
      <w:rFonts w:ascii="Calibri" w:hAnsi="Calibri" w:eastAsia="宋体"/>
      <w:w w:val="100"/>
      <w:sz w:val="21"/>
      <w:szCs w:val="21"/>
      <w:shd w:val="clear"/>
    </w:rPr>
  </w:style>
  <w:style w:type="paragraph" w:styleId="22">
    <w:name w:val="Title"/>
    <w:qFormat/>
    <w:uiPriority w:val="6"/>
    <w:pPr>
      <w:jc w:val="center"/>
    </w:pPr>
    <w:rPr>
      <w:rFonts w:ascii="Calibri" w:hAnsi="Calibri" w:eastAsia="宋体"/>
      <w:b/>
      <w:w w:val="100"/>
      <w:sz w:val="32"/>
      <w:szCs w:val="32"/>
      <w:shd w:val="clear"/>
    </w:rPr>
  </w:style>
  <w:style w:type="character" w:styleId="24">
    <w:name w:val="Strong"/>
    <w:qFormat/>
    <w:uiPriority w:val="20"/>
    <w:rPr>
      <w:b/>
      <w:w w:val="100"/>
      <w:sz w:val="21"/>
      <w:szCs w:val="21"/>
      <w:shd w:val="clear"/>
    </w:rPr>
  </w:style>
  <w:style w:type="character" w:styleId="25">
    <w:name w:val="Emphasis"/>
    <w:qFormat/>
    <w:uiPriority w:val="18"/>
    <w:rPr>
      <w:i/>
      <w:w w:val="100"/>
      <w:sz w:val="21"/>
      <w:szCs w:val="21"/>
      <w:shd w:val="clear"/>
    </w:rPr>
  </w:style>
  <w:style w:type="paragraph" w:styleId="27">
    <w:name w:val="No Spacing"/>
    <w:qFormat/>
    <w:uiPriority w:val="5"/>
    <w:pPr>
      <w:jc w:val="both"/>
    </w:pPr>
    <w:rPr>
      <w:rFonts w:ascii="Calibri" w:hAnsi="Calibri" w:eastAsia="宋体"/>
      <w:w w:val="100"/>
      <w:sz w:val="21"/>
      <w:szCs w:val="21"/>
      <w:shd w:val="clear"/>
    </w:rPr>
  </w:style>
  <w:style w:type="character" w:customStyle="1" w:styleId="28">
    <w:name w:val="Subtle Emphasis"/>
    <w:qFormat/>
    <w:uiPriority w:val="17"/>
    <w:rPr>
      <w:i/>
      <w:color w:val="404040"/>
      <w:w w:val="100"/>
      <w:sz w:val="21"/>
      <w:szCs w:val="21"/>
      <w:shd w:val="clear"/>
    </w:rPr>
  </w:style>
  <w:style w:type="character" w:customStyle="1" w:styleId="29">
    <w:name w:val="Intense Emphasis"/>
    <w:qFormat/>
    <w:uiPriority w:val="19"/>
    <w:rPr>
      <w:i/>
      <w:color w:val="5B9BD5"/>
      <w:w w:val="100"/>
      <w:sz w:val="21"/>
      <w:szCs w:val="21"/>
      <w:shd w:val="clear"/>
    </w:rPr>
  </w:style>
  <w:style w:type="paragraph" w:styleId="30">
    <w:name w:val="Quote"/>
    <w:qFormat/>
    <w:uiPriority w:val="21"/>
    <w:pPr>
      <w:ind w:left="864" w:right="864" w:firstLine="0"/>
      <w:jc w:val="center"/>
    </w:pPr>
    <w:rPr>
      <w:rFonts w:ascii="Calibri" w:hAnsi="Calibri" w:eastAsia="宋体"/>
      <w:i/>
      <w:color w:val="404040"/>
      <w:w w:val="100"/>
      <w:sz w:val="21"/>
      <w:szCs w:val="21"/>
      <w:shd w:val="clear"/>
    </w:rPr>
  </w:style>
  <w:style w:type="paragraph" w:styleId="31">
    <w:name w:val="Intense Quote"/>
    <w:qFormat/>
    <w:uiPriority w:val="22"/>
    <w:pPr>
      <w:ind w:left="950" w:right="950" w:firstLine="0"/>
      <w:jc w:val="center"/>
    </w:pPr>
    <w:rPr>
      <w:rFonts w:ascii="Calibri" w:hAnsi="Calibri" w:eastAsia="宋体"/>
      <w:i/>
      <w:color w:val="5B9BD5"/>
      <w:w w:val="100"/>
      <w:sz w:val="21"/>
      <w:szCs w:val="21"/>
      <w:shd w:val="clear"/>
    </w:rPr>
  </w:style>
  <w:style w:type="character" w:customStyle="1" w:styleId="32">
    <w:name w:val="Subtle Reference"/>
    <w:qFormat/>
    <w:uiPriority w:val="23"/>
    <w:rPr>
      <w:smallCaps/>
      <w:color w:val="5A5A5A"/>
      <w:w w:val="100"/>
      <w:sz w:val="21"/>
      <w:szCs w:val="21"/>
      <w:shd w:val="clear"/>
    </w:rPr>
  </w:style>
  <w:style w:type="character" w:customStyle="1" w:styleId="33">
    <w:name w:val="Intense Reference"/>
    <w:qFormat/>
    <w:uiPriority w:val="24"/>
    <w:rPr>
      <w:b/>
      <w:smallCaps/>
      <w:color w:val="5B9BD5"/>
      <w:w w:val="100"/>
      <w:sz w:val="21"/>
      <w:szCs w:val="21"/>
      <w:shd w:val="clear"/>
    </w:rPr>
  </w:style>
  <w:style w:type="character" w:customStyle="1" w:styleId="34">
    <w:name w:val="Book Title"/>
    <w:qFormat/>
    <w:uiPriority w:val="25"/>
    <w:rPr>
      <w:b/>
      <w:i/>
      <w:w w:val="100"/>
      <w:sz w:val="21"/>
      <w:szCs w:val="21"/>
      <w:shd w:val="clear"/>
    </w:rPr>
  </w:style>
  <w:style w:type="paragraph" w:styleId="35">
    <w:name w:val="List Paragraph"/>
    <w:qFormat/>
    <w:uiPriority w:val="26"/>
    <w:pPr>
      <w:ind w:left="850" w:firstLine="0"/>
      <w:jc w:val="both"/>
    </w:pPr>
    <w:rPr>
      <w:rFonts w:ascii="Calibri" w:hAnsi="Calibri" w:eastAsia="宋体"/>
      <w:w w:val="100"/>
      <w:sz w:val="21"/>
      <w:szCs w:val="21"/>
      <w:shd w:val="clear"/>
    </w:rPr>
  </w:style>
  <w:style w:type="paragraph" w:customStyle="1" w:styleId="36">
    <w:name w:val="TOC Heading"/>
    <w:unhideWhenUsed/>
    <w:qFormat/>
    <w:uiPriority w:val="27"/>
    <w:rPr>
      <w:rFonts w:ascii="Calibri" w:hAnsi="Calibri" w:eastAsia="宋体"/>
      <w:color w:val="2E74B5"/>
      <w:w w:val="100"/>
      <w:sz w:val="32"/>
      <w:szCs w:val="32"/>
      <w:shd w:val="clear"/>
    </w:rPr>
  </w:style>
  <w:style w:type="paragraph" w:customStyle="1" w:styleId="37">
    <w:name w:val="列出段落"/>
    <w:basedOn w:val="1"/>
    <w:qFormat/>
    <w:uiPriority w:val="152"/>
    <w:pPr>
      <w:widowControl/>
      <w:wordWrap/>
      <w:autoSpaceDE/>
      <w:autoSpaceDN/>
      <w:ind w:firstLine="420"/>
    </w:pPr>
    <w:rPr>
      <w:rFonts w:ascii="Calibri" w:hAnsi="Calibri" w:eastAsia="Calibri"/>
      <w:w w:val="100"/>
      <w:sz w:val="20"/>
      <w:szCs w:val="20"/>
      <w:shd w:val="clear"/>
    </w:rPr>
  </w:style>
  <w:style w:type="paragraph" w:customStyle="1" w:styleId="38">
    <w:name w:val="列出段落1"/>
    <w:basedOn w:val="1"/>
    <w:qFormat/>
    <w:uiPriority w:val="153"/>
    <w:pPr>
      <w:widowControl/>
      <w:wordWrap/>
      <w:autoSpaceDE/>
      <w:autoSpaceDN/>
      <w:ind w:firstLine="420"/>
    </w:pPr>
    <w:rPr>
      <w:rFonts w:ascii="Calibri" w:hAnsi="Calibri" w:eastAsia="Calibri"/>
      <w:w w:val="100"/>
      <w:sz w:val="20"/>
      <w:szCs w:val="20"/>
      <w:shd w:val="cle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2018-02-02T03:02:56Z</dcterms:created>
  <dc:creator>周静</dc:creator>
  <cp:lastModifiedBy>佩佩粥</cp:lastModifiedBy>
  <dcterms:modified xsi:type="dcterms:W3CDTF">2018-02-02T03:29:20Z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